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BA3" w:rsidRPr="008D17A3" w:rsidRDefault="008D17A3" w:rsidP="008D17A3">
      <w:pPr>
        <w:jc w:val="center"/>
        <w:rPr>
          <w:b/>
          <w:sz w:val="40"/>
          <w:szCs w:val="40"/>
        </w:rPr>
      </w:pPr>
      <w:r w:rsidRPr="008D17A3">
        <w:rPr>
          <w:b/>
          <w:sz w:val="40"/>
          <w:szCs w:val="40"/>
        </w:rPr>
        <w:t>Master Service Level Agreement (MSLA)</w:t>
      </w:r>
    </w:p>
    <w:p w:rsidR="008D17A3" w:rsidRPr="008D17A3" w:rsidRDefault="008D17A3" w:rsidP="008D17A3">
      <w:pPr>
        <w:jc w:val="center"/>
        <w:rPr>
          <w:b/>
          <w:sz w:val="32"/>
        </w:rPr>
      </w:pPr>
    </w:p>
    <w:p w:rsidR="008D17A3" w:rsidRPr="008D17A3" w:rsidRDefault="008D17A3" w:rsidP="008D17A3">
      <w:r w:rsidRPr="008D17A3">
        <w:rPr>
          <w:rStyle w:val="Strong"/>
          <w:rFonts w:ascii="Segoe UI" w:hAnsi="Segoe UI" w:cs="Segoe UI"/>
          <w:color w:val="374151"/>
          <w:bdr w:val="single" w:sz="2" w:space="0" w:color="D9D9E3" w:frame="1"/>
        </w:rPr>
        <w:t>Cimplx</w:t>
      </w:r>
      <w:r w:rsidRPr="008D17A3">
        <w:t xml:space="preserve"> </w:t>
      </w:r>
      <w:r w:rsidRPr="008D17A3">
        <w:rPr>
          <w:rStyle w:val="Emphasis"/>
          <w:rFonts w:ascii="Segoe UI" w:hAnsi="Segoe UI" w:cs="Segoe UI"/>
          <w:color w:val="374151"/>
          <w:bdr w:val="single" w:sz="2" w:space="0" w:color="D9D9E3" w:frame="1"/>
        </w:rPr>
        <w:t>(Hereinafter referred to as "Service Provider")</w:t>
      </w:r>
    </w:p>
    <w:p w:rsidR="008D17A3" w:rsidRPr="008D17A3" w:rsidRDefault="008D17A3" w:rsidP="008D17A3">
      <w:r w:rsidRPr="008D17A3">
        <w:rPr>
          <w:rStyle w:val="Strong"/>
          <w:rFonts w:ascii="Segoe UI" w:hAnsi="Segoe UI" w:cs="Segoe UI"/>
          <w:color w:val="374151"/>
          <w:bdr w:val="single" w:sz="2" w:space="0" w:color="D9D9E3" w:frame="1"/>
        </w:rPr>
        <w:t>Client Name</w:t>
      </w:r>
      <w:r w:rsidRPr="008D17A3">
        <w:t xml:space="preserve"> </w:t>
      </w:r>
      <w:r w:rsidRPr="008D17A3">
        <w:rPr>
          <w:rStyle w:val="Emphasis"/>
          <w:rFonts w:ascii="Segoe UI" w:hAnsi="Segoe UI" w:cs="Segoe UI"/>
          <w:color w:val="374151"/>
          <w:bdr w:val="single" w:sz="2" w:space="0" w:color="D9D9E3" w:frame="1"/>
        </w:rPr>
        <w:t>(Hereinafter referred to as "Client")</w:t>
      </w:r>
    </w:p>
    <w:p w:rsidR="00804126" w:rsidRDefault="008D17A3" w:rsidP="008D17A3">
      <w:pPr>
        <w:rPr>
          <w:rFonts w:eastAsia="Times New Roman"/>
          <w:sz w:val="24"/>
          <w:szCs w:val="24"/>
        </w:rPr>
      </w:pPr>
      <w:r w:rsidRPr="008D17A3">
        <w:rPr>
          <w:rFonts w:eastAsia="Times New Roman"/>
          <w:sz w:val="24"/>
          <w:szCs w:val="24"/>
        </w:rPr>
        <w:t xml:space="preserve">This MSLA outlines the terms, responsibilities, and commitments of the Service Provider in delivering Human Capital Management (HCM) software managed services to the Client. </w:t>
      </w:r>
      <w:bookmarkStart w:id="0" w:name="_GoBack"/>
      <w:bookmarkEnd w:id="0"/>
    </w:p>
    <w:p w:rsidR="008D17A3" w:rsidRPr="008D17A3" w:rsidRDefault="008D17A3" w:rsidP="008D17A3">
      <w:pPr>
        <w:rPr>
          <w:rFonts w:eastAsia="Times New Roman"/>
          <w:sz w:val="24"/>
          <w:szCs w:val="24"/>
        </w:rPr>
      </w:pPr>
      <w:r w:rsidRPr="008D17A3">
        <w:rPr>
          <w:rFonts w:eastAsia="Times New Roman"/>
          <w:sz w:val="24"/>
          <w:szCs w:val="24"/>
        </w:rPr>
        <w:t>The parties agree to adhere to the following terms and conditions:</w:t>
      </w:r>
    </w:p>
    <w:p w:rsidR="008D17A3" w:rsidRPr="008D17A3" w:rsidRDefault="008D17A3" w:rsidP="008D17A3">
      <w:pPr>
        <w:rPr>
          <w:rFonts w:eastAsia="Times New Roman"/>
          <w:b/>
          <w:bCs/>
          <w:sz w:val="36"/>
          <w:szCs w:val="36"/>
        </w:rPr>
      </w:pPr>
      <w:r w:rsidRPr="008D17A3">
        <w:rPr>
          <w:rFonts w:eastAsia="Times New Roman"/>
          <w:b/>
          <w:bCs/>
          <w:sz w:val="36"/>
          <w:szCs w:val="36"/>
        </w:rPr>
        <w:t>1. Service Description</w:t>
      </w:r>
    </w:p>
    <w:p w:rsidR="008D17A3" w:rsidRPr="008D17A3" w:rsidRDefault="008D17A3" w:rsidP="008D17A3">
      <w:pPr>
        <w:rPr>
          <w:rFonts w:eastAsia="Times New Roman"/>
          <w:b/>
          <w:bCs/>
          <w:sz w:val="30"/>
          <w:szCs w:val="30"/>
        </w:rPr>
      </w:pPr>
      <w:r w:rsidRPr="008D17A3">
        <w:rPr>
          <w:rFonts w:eastAsia="Times New Roman"/>
          <w:b/>
          <w:bCs/>
          <w:sz w:val="30"/>
          <w:szCs w:val="30"/>
        </w:rPr>
        <w:t>1.1 Scope of Services</w:t>
      </w:r>
    </w:p>
    <w:p w:rsidR="008D17A3" w:rsidRPr="008D17A3" w:rsidRDefault="008D17A3" w:rsidP="008D17A3">
      <w:pPr>
        <w:rPr>
          <w:rFonts w:eastAsia="Times New Roman"/>
          <w:sz w:val="24"/>
          <w:szCs w:val="24"/>
        </w:rPr>
      </w:pPr>
      <w:r w:rsidRPr="008D17A3">
        <w:rPr>
          <w:rFonts w:eastAsia="Times New Roman"/>
          <w:sz w:val="24"/>
          <w:szCs w:val="24"/>
        </w:rPr>
        <w:t>Cimplx HR agrees to provide the following services to the Client:</w:t>
      </w:r>
    </w:p>
    <w:p w:rsidR="008D17A3" w:rsidRPr="008D17A3" w:rsidRDefault="008D17A3" w:rsidP="008D17A3">
      <w:pPr>
        <w:rPr>
          <w:rFonts w:eastAsia="Times New Roman"/>
          <w:sz w:val="24"/>
          <w:szCs w:val="24"/>
        </w:rPr>
      </w:pPr>
      <w:r w:rsidRPr="008D17A3">
        <w:rPr>
          <w:rFonts w:eastAsia="Times New Roman"/>
          <w:b/>
          <w:bCs/>
          <w:sz w:val="24"/>
          <w:szCs w:val="24"/>
          <w:bdr w:val="single" w:sz="2" w:space="0" w:color="D9D9E3" w:frame="1"/>
        </w:rPr>
        <w:t>HCM Software Management</w:t>
      </w:r>
      <w:r w:rsidRPr="008D17A3">
        <w:rPr>
          <w:rFonts w:eastAsia="Times New Roman"/>
          <w:sz w:val="24"/>
          <w:szCs w:val="24"/>
        </w:rPr>
        <w:t>: Ongoing management and maintenance of the Client's Human Capital Management software platform.</w:t>
      </w:r>
    </w:p>
    <w:p w:rsidR="008D17A3" w:rsidRDefault="008D17A3" w:rsidP="008D17A3">
      <w:pPr>
        <w:rPr>
          <w:rFonts w:eastAsia="Times New Roman"/>
          <w:sz w:val="24"/>
          <w:szCs w:val="24"/>
        </w:rPr>
      </w:pPr>
      <w:r>
        <w:rPr>
          <w:rFonts w:eastAsia="Times New Roman"/>
          <w:b/>
          <w:bCs/>
          <w:sz w:val="24"/>
          <w:szCs w:val="24"/>
          <w:bdr w:val="single" w:sz="2" w:space="0" w:color="D9D9E3" w:frame="1"/>
        </w:rPr>
        <w:t>Dedicated Customer</w:t>
      </w:r>
      <w:r w:rsidRPr="008D17A3">
        <w:rPr>
          <w:rFonts w:eastAsia="Times New Roman"/>
          <w:b/>
          <w:bCs/>
          <w:sz w:val="24"/>
          <w:szCs w:val="24"/>
          <w:bdr w:val="single" w:sz="2" w:space="0" w:color="D9D9E3" w:frame="1"/>
        </w:rPr>
        <w:t xml:space="preserve"> Support</w:t>
      </w:r>
      <w:r w:rsidRPr="008D17A3">
        <w:rPr>
          <w:rFonts w:eastAsia="Times New Roman"/>
          <w:sz w:val="24"/>
          <w:szCs w:val="24"/>
        </w:rPr>
        <w:t xml:space="preserve">: </w:t>
      </w:r>
      <w:r w:rsidR="00FB50BF">
        <w:rPr>
          <w:rFonts w:eastAsia="Times New Roman"/>
          <w:sz w:val="24"/>
          <w:szCs w:val="24"/>
        </w:rPr>
        <w:t xml:space="preserve">Each account will be assigned to a dedicated </w:t>
      </w:r>
      <w:r>
        <w:rPr>
          <w:rFonts w:eastAsia="Times New Roman"/>
          <w:sz w:val="24"/>
          <w:szCs w:val="24"/>
        </w:rPr>
        <w:t>Account Executive</w:t>
      </w:r>
      <w:r w:rsidRPr="008D17A3">
        <w:rPr>
          <w:rFonts w:eastAsia="Times New Roman"/>
          <w:sz w:val="24"/>
          <w:szCs w:val="24"/>
        </w:rPr>
        <w:t xml:space="preserve"> for </w:t>
      </w:r>
      <w:r w:rsidR="00FB50BF">
        <w:rPr>
          <w:rFonts w:eastAsia="Times New Roman"/>
          <w:sz w:val="24"/>
          <w:szCs w:val="24"/>
        </w:rPr>
        <w:t xml:space="preserve">Tier 1 </w:t>
      </w:r>
      <w:r w:rsidRPr="008D17A3">
        <w:rPr>
          <w:rFonts w:eastAsia="Times New Roman"/>
          <w:sz w:val="24"/>
          <w:szCs w:val="24"/>
        </w:rPr>
        <w:t>technical assistance and issue resolution.</w:t>
      </w:r>
    </w:p>
    <w:p w:rsidR="00FB50BF" w:rsidRDefault="00FB50BF" w:rsidP="00FB50BF">
      <w:pPr>
        <w:rPr>
          <w:rFonts w:eastAsia="Times New Roman"/>
          <w:sz w:val="24"/>
          <w:szCs w:val="24"/>
        </w:rPr>
      </w:pPr>
      <w:r>
        <w:rPr>
          <w:rFonts w:eastAsia="Times New Roman"/>
          <w:b/>
          <w:bCs/>
          <w:sz w:val="24"/>
          <w:szCs w:val="24"/>
          <w:bdr w:val="single" w:sz="2" w:space="0" w:color="D9D9E3" w:frame="1"/>
        </w:rPr>
        <w:t>HR Support Team</w:t>
      </w:r>
      <w:r w:rsidRPr="008D17A3">
        <w:rPr>
          <w:rFonts w:eastAsia="Times New Roman"/>
          <w:sz w:val="24"/>
          <w:szCs w:val="24"/>
        </w:rPr>
        <w:t xml:space="preserve">: </w:t>
      </w:r>
      <w:r>
        <w:rPr>
          <w:rFonts w:eastAsia="Times New Roman"/>
          <w:sz w:val="24"/>
          <w:szCs w:val="24"/>
        </w:rPr>
        <w:t>In the event the Dedicated Account Executive is unavailable, the issue will be forwarded to the HR Support Team for more immediate response.</w:t>
      </w:r>
    </w:p>
    <w:p w:rsidR="00FB50BF" w:rsidRPr="008D17A3" w:rsidRDefault="00FB50BF" w:rsidP="008D17A3">
      <w:pPr>
        <w:rPr>
          <w:rFonts w:eastAsia="Times New Roman"/>
          <w:sz w:val="24"/>
          <w:szCs w:val="24"/>
        </w:rPr>
      </w:pPr>
    </w:p>
    <w:p w:rsidR="008D17A3" w:rsidRPr="008D17A3" w:rsidRDefault="008D17A3" w:rsidP="008D17A3">
      <w:pPr>
        <w:rPr>
          <w:rFonts w:eastAsia="Times New Roman"/>
          <w:b/>
          <w:bCs/>
          <w:sz w:val="30"/>
          <w:szCs w:val="30"/>
        </w:rPr>
      </w:pPr>
      <w:r w:rsidRPr="008D17A3">
        <w:rPr>
          <w:rFonts w:eastAsia="Times New Roman"/>
          <w:b/>
          <w:bCs/>
          <w:sz w:val="30"/>
          <w:szCs w:val="30"/>
        </w:rPr>
        <w:t>1.2 Service Availability</w:t>
      </w:r>
    </w:p>
    <w:p w:rsidR="008D17A3" w:rsidRPr="008D17A3" w:rsidRDefault="008D17A3" w:rsidP="008D17A3">
      <w:pPr>
        <w:rPr>
          <w:rFonts w:eastAsia="Times New Roman"/>
          <w:sz w:val="24"/>
          <w:szCs w:val="24"/>
        </w:rPr>
      </w:pPr>
      <w:r w:rsidRPr="008D17A3">
        <w:rPr>
          <w:rFonts w:eastAsia="Times New Roman"/>
          <w:sz w:val="24"/>
          <w:szCs w:val="24"/>
        </w:rPr>
        <w:t xml:space="preserve">Cimplx HR will provide service availability </w:t>
      </w:r>
      <w:r>
        <w:rPr>
          <w:rFonts w:eastAsia="Times New Roman"/>
          <w:sz w:val="24"/>
          <w:szCs w:val="24"/>
        </w:rPr>
        <w:t xml:space="preserve">from 9 a.m. to 5 p.m. </w:t>
      </w:r>
      <w:r w:rsidR="00FB50BF">
        <w:rPr>
          <w:rFonts w:eastAsia="Times New Roman"/>
          <w:sz w:val="24"/>
          <w:szCs w:val="24"/>
        </w:rPr>
        <w:t xml:space="preserve">Eastern Time on </w:t>
      </w:r>
      <w:r>
        <w:rPr>
          <w:rFonts w:eastAsia="Times New Roman"/>
          <w:sz w:val="24"/>
          <w:szCs w:val="24"/>
        </w:rPr>
        <w:t xml:space="preserve">business days which are defined as Monday through Friday with the exception of Federal </w:t>
      </w:r>
      <w:r w:rsidR="00FB50BF">
        <w:rPr>
          <w:rFonts w:eastAsia="Times New Roman"/>
          <w:sz w:val="24"/>
          <w:szCs w:val="24"/>
        </w:rPr>
        <w:t xml:space="preserve">Banking </w:t>
      </w:r>
      <w:r>
        <w:rPr>
          <w:rFonts w:eastAsia="Times New Roman"/>
          <w:sz w:val="24"/>
          <w:szCs w:val="24"/>
        </w:rPr>
        <w:t xml:space="preserve">Holidays.  These holidays may be found here </w:t>
      </w:r>
      <w:r w:rsidRPr="008D17A3">
        <w:rPr>
          <w:rFonts w:eastAsia="Times New Roman"/>
          <w:sz w:val="24"/>
          <w:szCs w:val="24"/>
        </w:rPr>
        <w:t>https://www.frbservices.org/about/holiday-schedules</w:t>
      </w:r>
    </w:p>
    <w:p w:rsidR="008D17A3" w:rsidRPr="008D17A3" w:rsidRDefault="008D17A3" w:rsidP="008D17A3">
      <w:pPr>
        <w:rPr>
          <w:rFonts w:eastAsia="Times New Roman"/>
          <w:b/>
          <w:bCs/>
          <w:sz w:val="36"/>
          <w:szCs w:val="36"/>
        </w:rPr>
      </w:pPr>
      <w:r w:rsidRPr="008D17A3">
        <w:rPr>
          <w:rFonts w:eastAsia="Times New Roman"/>
          <w:b/>
          <w:bCs/>
          <w:sz w:val="36"/>
          <w:szCs w:val="36"/>
        </w:rPr>
        <w:t>2. Service Levels</w:t>
      </w:r>
    </w:p>
    <w:p w:rsidR="008D17A3" w:rsidRPr="008D17A3" w:rsidRDefault="008D17A3" w:rsidP="008D17A3">
      <w:pPr>
        <w:rPr>
          <w:rFonts w:eastAsia="Times New Roman"/>
          <w:b/>
          <w:bCs/>
          <w:sz w:val="30"/>
          <w:szCs w:val="30"/>
        </w:rPr>
      </w:pPr>
      <w:r w:rsidRPr="008D17A3">
        <w:rPr>
          <w:rFonts w:eastAsia="Times New Roman"/>
          <w:b/>
          <w:bCs/>
          <w:sz w:val="30"/>
          <w:szCs w:val="30"/>
        </w:rPr>
        <w:t>2.1 Availability</w:t>
      </w:r>
    </w:p>
    <w:p w:rsidR="008D17A3" w:rsidRPr="008D17A3" w:rsidRDefault="008D17A3" w:rsidP="008D17A3">
      <w:pPr>
        <w:rPr>
          <w:rFonts w:eastAsia="Times New Roman"/>
          <w:sz w:val="24"/>
          <w:szCs w:val="24"/>
        </w:rPr>
      </w:pPr>
      <w:r w:rsidRPr="008D17A3">
        <w:rPr>
          <w:rFonts w:eastAsia="Times New Roman"/>
          <w:sz w:val="24"/>
          <w:szCs w:val="24"/>
        </w:rPr>
        <w:t xml:space="preserve">Cimplx HR </w:t>
      </w:r>
      <w:r w:rsidR="00FB50BF">
        <w:rPr>
          <w:rFonts w:eastAsia="Times New Roman"/>
          <w:sz w:val="24"/>
          <w:szCs w:val="24"/>
        </w:rPr>
        <w:t>represents 3</w:t>
      </w:r>
      <w:r w:rsidR="00FB50BF" w:rsidRPr="00FB50BF">
        <w:rPr>
          <w:rFonts w:eastAsia="Times New Roman"/>
          <w:sz w:val="24"/>
          <w:szCs w:val="24"/>
          <w:vertAlign w:val="superscript"/>
        </w:rPr>
        <w:t>rd</w:t>
      </w:r>
      <w:r w:rsidR="00FB50BF">
        <w:rPr>
          <w:rFonts w:eastAsia="Times New Roman"/>
          <w:sz w:val="24"/>
          <w:szCs w:val="24"/>
        </w:rPr>
        <w:t xml:space="preserve"> party providers of </w:t>
      </w:r>
      <w:r w:rsidRPr="008D17A3">
        <w:rPr>
          <w:rFonts w:eastAsia="Times New Roman"/>
          <w:sz w:val="24"/>
          <w:szCs w:val="24"/>
        </w:rPr>
        <w:t>HCM software platform</w:t>
      </w:r>
      <w:r w:rsidR="00FB50BF">
        <w:rPr>
          <w:rFonts w:eastAsia="Times New Roman"/>
          <w:sz w:val="24"/>
          <w:szCs w:val="24"/>
        </w:rPr>
        <w:t xml:space="preserve">s.  Each software platform has heir own SLA to include software </w:t>
      </w:r>
      <w:r w:rsidR="0067133B">
        <w:rPr>
          <w:rFonts w:eastAsia="Times New Roman"/>
          <w:sz w:val="24"/>
          <w:szCs w:val="24"/>
        </w:rPr>
        <w:t>availability,</w:t>
      </w:r>
      <w:r w:rsidRPr="008D17A3">
        <w:rPr>
          <w:rFonts w:eastAsia="Times New Roman"/>
          <w:sz w:val="24"/>
          <w:szCs w:val="24"/>
        </w:rPr>
        <w:t xml:space="preserve"> excluding scheduled maintenance windows.</w:t>
      </w:r>
    </w:p>
    <w:p w:rsidR="008D17A3" w:rsidRPr="008D17A3" w:rsidRDefault="008D17A3" w:rsidP="008D17A3">
      <w:pPr>
        <w:rPr>
          <w:rFonts w:eastAsia="Times New Roman"/>
          <w:b/>
          <w:bCs/>
          <w:sz w:val="30"/>
          <w:szCs w:val="30"/>
        </w:rPr>
      </w:pPr>
      <w:r w:rsidRPr="008D17A3">
        <w:rPr>
          <w:rFonts w:eastAsia="Times New Roman"/>
          <w:b/>
          <w:bCs/>
          <w:sz w:val="30"/>
          <w:szCs w:val="30"/>
        </w:rPr>
        <w:t>2.2 Response Time</w:t>
      </w:r>
    </w:p>
    <w:p w:rsidR="008D17A3" w:rsidRPr="008D17A3" w:rsidRDefault="008D17A3" w:rsidP="008D17A3">
      <w:pPr>
        <w:rPr>
          <w:rFonts w:eastAsia="Times New Roman"/>
          <w:sz w:val="24"/>
          <w:szCs w:val="24"/>
        </w:rPr>
      </w:pPr>
      <w:r w:rsidRPr="008D17A3">
        <w:rPr>
          <w:rFonts w:eastAsia="Times New Roman"/>
          <w:b/>
          <w:bCs/>
          <w:sz w:val="24"/>
          <w:szCs w:val="24"/>
          <w:bdr w:val="single" w:sz="2" w:space="0" w:color="D9D9E3" w:frame="1"/>
        </w:rPr>
        <w:t>Priority 1 Issues</w:t>
      </w:r>
      <w:r w:rsidRPr="008D17A3">
        <w:rPr>
          <w:rFonts w:eastAsia="Times New Roman"/>
          <w:sz w:val="24"/>
          <w:szCs w:val="24"/>
        </w:rPr>
        <w:t xml:space="preserve">: Cimplx HR will respond to critical issues within </w:t>
      </w:r>
      <w:r w:rsidR="00FB50BF">
        <w:rPr>
          <w:rFonts w:eastAsia="Times New Roman"/>
          <w:sz w:val="24"/>
          <w:szCs w:val="24"/>
        </w:rPr>
        <w:t>4</w:t>
      </w:r>
      <w:r w:rsidRPr="008D17A3">
        <w:rPr>
          <w:rFonts w:eastAsia="Times New Roman"/>
          <w:sz w:val="24"/>
          <w:szCs w:val="24"/>
        </w:rPr>
        <w:t xml:space="preserve"> </w:t>
      </w:r>
      <w:r w:rsidR="0067133B" w:rsidRPr="008D17A3">
        <w:rPr>
          <w:rFonts w:eastAsia="Times New Roman"/>
          <w:sz w:val="24"/>
          <w:szCs w:val="24"/>
        </w:rPr>
        <w:t>hours</w:t>
      </w:r>
      <w:r w:rsidRPr="008D17A3">
        <w:rPr>
          <w:rFonts w:eastAsia="Times New Roman"/>
          <w:sz w:val="24"/>
          <w:szCs w:val="24"/>
        </w:rPr>
        <w:t xml:space="preserve"> of notification.</w:t>
      </w:r>
    </w:p>
    <w:p w:rsidR="008D17A3" w:rsidRPr="008D17A3" w:rsidRDefault="008D17A3" w:rsidP="008D17A3">
      <w:pPr>
        <w:rPr>
          <w:rFonts w:eastAsia="Times New Roman"/>
          <w:sz w:val="24"/>
          <w:szCs w:val="24"/>
        </w:rPr>
      </w:pPr>
      <w:r w:rsidRPr="008D17A3">
        <w:rPr>
          <w:rFonts w:eastAsia="Times New Roman"/>
          <w:b/>
          <w:bCs/>
          <w:sz w:val="24"/>
          <w:szCs w:val="24"/>
          <w:bdr w:val="single" w:sz="2" w:space="0" w:color="D9D9E3" w:frame="1"/>
        </w:rPr>
        <w:lastRenderedPageBreak/>
        <w:t>Priority 2 Issues</w:t>
      </w:r>
      <w:r w:rsidRPr="008D17A3">
        <w:rPr>
          <w:rFonts w:eastAsia="Times New Roman"/>
          <w:sz w:val="24"/>
          <w:szCs w:val="24"/>
        </w:rPr>
        <w:t xml:space="preserve">: Cimplx HR will respond to significant issues within </w:t>
      </w:r>
      <w:r w:rsidR="00FB50BF">
        <w:rPr>
          <w:rFonts w:eastAsia="Times New Roman"/>
          <w:sz w:val="24"/>
          <w:szCs w:val="24"/>
        </w:rPr>
        <w:t>8</w:t>
      </w:r>
      <w:r w:rsidRPr="008D17A3">
        <w:rPr>
          <w:rFonts w:eastAsia="Times New Roman"/>
          <w:sz w:val="24"/>
          <w:szCs w:val="24"/>
        </w:rPr>
        <w:t xml:space="preserve"> hours of notification.</w:t>
      </w:r>
    </w:p>
    <w:p w:rsidR="008D17A3" w:rsidRPr="008D17A3" w:rsidRDefault="008D17A3" w:rsidP="008D17A3">
      <w:pPr>
        <w:rPr>
          <w:rFonts w:eastAsia="Times New Roman"/>
          <w:sz w:val="24"/>
          <w:szCs w:val="24"/>
        </w:rPr>
      </w:pPr>
      <w:r w:rsidRPr="008D17A3">
        <w:rPr>
          <w:rFonts w:eastAsia="Times New Roman"/>
          <w:b/>
          <w:bCs/>
          <w:sz w:val="24"/>
          <w:szCs w:val="24"/>
          <w:bdr w:val="single" w:sz="2" w:space="0" w:color="D9D9E3" w:frame="1"/>
        </w:rPr>
        <w:t>Priority 3 Issues</w:t>
      </w:r>
      <w:r w:rsidRPr="008D17A3">
        <w:rPr>
          <w:rFonts w:eastAsia="Times New Roman"/>
          <w:sz w:val="24"/>
          <w:szCs w:val="24"/>
        </w:rPr>
        <w:t xml:space="preserve">: Cimplx HR will respond to minor issues within </w:t>
      </w:r>
      <w:r w:rsidR="00FB50BF">
        <w:rPr>
          <w:rFonts w:eastAsia="Times New Roman"/>
          <w:sz w:val="24"/>
          <w:szCs w:val="24"/>
        </w:rPr>
        <w:t>24</w:t>
      </w:r>
      <w:r w:rsidRPr="008D17A3">
        <w:rPr>
          <w:rFonts w:eastAsia="Times New Roman"/>
          <w:sz w:val="24"/>
          <w:szCs w:val="24"/>
        </w:rPr>
        <w:t xml:space="preserve"> hours of notification.</w:t>
      </w:r>
    </w:p>
    <w:p w:rsidR="008D17A3" w:rsidRPr="008D17A3" w:rsidRDefault="008D17A3" w:rsidP="008D17A3">
      <w:pPr>
        <w:rPr>
          <w:rFonts w:eastAsia="Times New Roman"/>
          <w:b/>
          <w:bCs/>
          <w:sz w:val="30"/>
          <w:szCs w:val="30"/>
        </w:rPr>
      </w:pPr>
      <w:r w:rsidRPr="008D17A3">
        <w:rPr>
          <w:rFonts w:eastAsia="Times New Roman"/>
          <w:b/>
          <w:bCs/>
          <w:sz w:val="30"/>
          <w:szCs w:val="30"/>
        </w:rPr>
        <w:t>2.3 Resolution Time</w:t>
      </w:r>
    </w:p>
    <w:p w:rsidR="008D17A3" w:rsidRPr="008D17A3" w:rsidRDefault="008D17A3" w:rsidP="008D17A3">
      <w:pPr>
        <w:rPr>
          <w:rFonts w:eastAsia="Times New Roman"/>
          <w:sz w:val="24"/>
          <w:szCs w:val="24"/>
        </w:rPr>
      </w:pPr>
      <w:r w:rsidRPr="008D17A3">
        <w:rPr>
          <w:rFonts w:eastAsia="Times New Roman"/>
          <w:b/>
          <w:bCs/>
          <w:sz w:val="24"/>
          <w:szCs w:val="24"/>
          <w:bdr w:val="single" w:sz="2" w:space="0" w:color="D9D9E3" w:frame="1"/>
        </w:rPr>
        <w:t>Priority 1 Issues</w:t>
      </w:r>
      <w:r w:rsidRPr="008D17A3">
        <w:rPr>
          <w:rFonts w:eastAsia="Times New Roman"/>
          <w:sz w:val="24"/>
          <w:szCs w:val="24"/>
        </w:rPr>
        <w:t>: Cimplx HR will aim to resolve critical issues within 4 hours of acknowledgment.</w:t>
      </w:r>
    </w:p>
    <w:p w:rsidR="008D17A3" w:rsidRPr="008D17A3" w:rsidRDefault="008D17A3" w:rsidP="008D17A3">
      <w:pPr>
        <w:rPr>
          <w:rFonts w:eastAsia="Times New Roman"/>
          <w:sz w:val="24"/>
          <w:szCs w:val="24"/>
        </w:rPr>
      </w:pPr>
      <w:r w:rsidRPr="008D17A3">
        <w:rPr>
          <w:rFonts w:eastAsia="Times New Roman"/>
          <w:b/>
          <w:bCs/>
          <w:sz w:val="24"/>
          <w:szCs w:val="24"/>
          <w:bdr w:val="single" w:sz="2" w:space="0" w:color="D9D9E3" w:frame="1"/>
        </w:rPr>
        <w:t>Priority 2 Issues</w:t>
      </w:r>
      <w:r w:rsidRPr="008D17A3">
        <w:rPr>
          <w:rFonts w:eastAsia="Times New Roman"/>
          <w:sz w:val="24"/>
          <w:szCs w:val="24"/>
        </w:rPr>
        <w:t>: Cimplx HR will aim to resolve significant issues within 24 hours of acknowledgment.</w:t>
      </w:r>
    </w:p>
    <w:p w:rsidR="008D17A3" w:rsidRPr="008D17A3" w:rsidRDefault="008D17A3" w:rsidP="008D17A3">
      <w:pPr>
        <w:rPr>
          <w:rFonts w:eastAsia="Times New Roman"/>
          <w:sz w:val="24"/>
          <w:szCs w:val="24"/>
        </w:rPr>
      </w:pPr>
      <w:r w:rsidRPr="008D17A3">
        <w:rPr>
          <w:rFonts w:eastAsia="Times New Roman"/>
          <w:b/>
          <w:bCs/>
          <w:sz w:val="24"/>
          <w:szCs w:val="24"/>
          <w:bdr w:val="single" w:sz="2" w:space="0" w:color="D9D9E3" w:frame="1"/>
        </w:rPr>
        <w:t>Priority 3 Issues</w:t>
      </w:r>
      <w:r w:rsidRPr="008D17A3">
        <w:rPr>
          <w:rFonts w:eastAsia="Times New Roman"/>
          <w:sz w:val="24"/>
          <w:szCs w:val="24"/>
        </w:rPr>
        <w:t>: Cimplx HR will aim to resolve minor issues within 72 hours of acknowledgment.</w:t>
      </w:r>
    </w:p>
    <w:p w:rsidR="008D17A3" w:rsidRPr="008D17A3" w:rsidRDefault="008D17A3" w:rsidP="008D17A3">
      <w:pPr>
        <w:rPr>
          <w:rFonts w:eastAsia="Times New Roman"/>
          <w:b/>
          <w:bCs/>
          <w:sz w:val="36"/>
          <w:szCs w:val="36"/>
        </w:rPr>
      </w:pPr>
      <w:r w:rsidRPr="008D17A3">
        <w:rPr>
          <w:rFonts w:eastAsia="Times New Roman"/>
          <w:b/>
          <w:bCs/>
          <w:sz w:val="36"/>
          <w:szCs w:val="36"/>
        </w:rPr>
        <w:t>3. Reporting and Communication</w:t>
      </w:r>
    </w:p>
    <w:p w:rsidR="008D17A3" w:rsidRPr="008D17A3" w:rsidRDefault="008D17A3" w:rsidP="008D17A3">
      <w:pPr>
        <w:rPr>
          <w:rFonts w:eastAsia="Times New Roman"/>
          <w:b/>
          <w:bCs/>
          <w:sz w:val="30"/>
          <w:szCs w:val="30"/>
        </w:rPr>
      </w:pPr>
      <w:r w:rsidRPr="008D17A3">
        <w:rPr>
          <w:rFonts w:eastAsia="Times New Roman"/>
          <w:b/>
          <w:bCs/>
          <w:sz w:val="30"/>
          <w:szCs w:val="30"/>
        </w:rPr>
        <w:t>3.1 Reporting</w:t>
      </w:r>
    </w:p>
    <w:p w:rsidR="008D17A3" w:rsidRPr="008D17A3" w:rsidRDefault="008D17A3" w:rsidP="008D17A3">
      <w:pPr>
        <w:rPr>
          <w:rFonts w:eastAsia="Times New Roman"/>
          <w:sz w:val="24"/>
          <w:szCs w:val="24"/>
        </w:rPr>
      </w:pPr>
      <w:r w:rsidRPr="008D17A3">
        <w:rPr>
          <w:rFonts w:eastAsia="Times New Roman"/>
          <w:sz w:val="24"/>
          <w:szCs w:val="24"/>
        </w:rPr>
        <w:t>Cimplx HR will provide reports, including:</w:t>
      </w:r>
    </w:p>
    <w:p w:rsidR="008D17A3" w:rsidRPr="008D17A3" w:rsidRDefault="008D17A3" w:rsidP="008D17A3">
      <w:pPr>
        <w:rPr>
          <w:rFonts w:eastAsia="Times New Roman"/>
          <w:sz w:val="24"/>
          <w:szCs w:val="24"/>
        </w:rPr>
      </w:pPr>
      <w:r w:rsidRPr="008D17A3">
        <w:rPr>
          <w:rFonts w:eastAsia="Times New Roman"/>
          <w:sz w:val="24"/>
          <w:szCs w:val="24"/>
        </w:rPr>
        <w:t>Incident and resolution reports.</w:t>
      </w:r>
    </w:p>
    <w:p w:rsidR="008D17A3" w:rsidRPr="008D17A3" w:rsidRDefault="008D17A3" w:rsidP="008D17A3">
      <w:pPr>
        <w:rPr>
          <w:rFonts w:eastAsia="Times New Roman"/>
          <w:b/>
          <w:bCs/>
          <w:sz w:val="30"/>
          <w:szCs w:val="30"/>
        </w:rPr>
      </w:pPr>
      <w:r w:rsidRPr="008D17A3">
        <w:rPr>
          <w:rFonts w:eastAsia="Times New Roman"/>
          <w:b/>
          <w:bCs/>
          <w:sz w:val="30"/>
          <w:szCs w:val="30"/>
        </w:rPr>
        <w:t>3.2 Communication</w:t>
      </w:r>
    </w:p>
    <w:p w:rsidR="008D17A3" w:rsidRPr="008D17A3" w:rsidRDefault="008D17A3" w:rsidP="008D17A3">
      <w:pPr>
        <w:rPr>
          <w:rFonts w:eastAsia="Times New Roman"/>
          <w:sz w:val="24"/>
          <w:szCs w:val="24"/>
        </w:rPr>
      </w:pPr>
      <w:r w:rsidRPr="008D17A3">
        <w:rPr>
          <w:rFonts w:eastAsia="Times New Roman"/>
          <w:sz w:val="24"/>
          <w:szCs w:val="24"/>
        </w:rPr>
        <w:t>The Service Provider will designate a</w:t>
      </w:r>
      <w:r w:rsidR="00FB50BF">
        <w:rPr>
          <w:rFonts w:eastAsia="Times New Roman"/>
          <w:sz w:val="24"/>
          <w:szCs w:val="24"/>
        </w:rPr>
        <w:t xml:space="preserve">n Account Executive </w:t>
      </w:r>
      <w:r w:rsidRPr="008D17A3">
        <w:rPr>
          <w:rFonts w:eastAsia="Times New Roman"/>
          <w:sz w:val="24"/>
          <w:szCs w:val="24"/>
        </w:rPr>
        <w:t>(</w:t>
      </w:r>
      <w:r w:rsidR="00FB50BF">
        <w:rPr>
          <w:rFonts w:eastAsia="Times New Roman"/>
          <w:sz w:val="24"/>
          <w:szCs w:val="24"/>
        </w:rPr>
        <w:t>AE</w:t>
      </w:r>
      <w:r w:rsidRPr="008D17A3">
        <w:rPr>
          <w:rFonts w:eastAsia="Times New Roman"/>
          <w:sz w:val="24"/>
          <w:szCs w:val="24"/>
        </w:rPr>
        <w:t xml:space="preserve">) as the primary point of contact. All communication regarding service issues, updates, and inquiries should be directed to the </w:t>
      </w:r>
      <w:r w:rsidR="00FB50BF">
        <w:rPr>
          <w:rFonts w:eastAsia="Times New Roman"/>
          <w:sz w:val="24"/>
          <w:szCs w:val="24"/>
        </w:rPr>
        <w:t>AE</w:t>
      </w:r>
      <w:r w:rsidRPr="008D17A3">
        <w:rPr>
          <w:rFonts w:eastAsia="Times New Roman"/>
          <w:sz w:val="24"/>
          <w:szCs w:val="24"/>
        </w:rPr>
        <w:t>.</w:t>
      </w:r>
    </w:p>
    <w:p w:rsidR="008D17A3" w:rsidRPr="008D17A3" w:rsidRDefault="008D17A3" w:rsidP="008D17A3">
      <w:pPr>
        <w:rPr>
          <w:rFonts w:eastAsia="Times New Roman"/>
          <w:b/>
          <w:bCs/>
          <w:sz w:val="36"/>
          <w:szCs w:val="36"/>
        </w:rPr>
      </w:pPr>
      <w:r w:rsidRPr="008D17A3">
        <w:rPr>
          <w:rFonts w:eastAsia="Times New Roman"/>
          <w:b/>
          <w:bCs/>
          <w:sz w:val="36"/>
          <w:szCs w:val="36"/>
        </w:rPr>
        <w:t>4. Security and Data Privacy</w:t>
      </w:r>
    </w:p>
    <w:p w:rsidR="008D17A3" w:rsidRPr="008D17A3" w:rsidRDefault="008D17A3" w:rsidP="008D17A3">
      <w:pPr>
        <w:rPr>
          <w:rFonts w:eastAsia="Times New Roman"/>
          <w:sz w:val="24"/>
          <w:szCs w:val="24"/>
        </w:rPr>
      </w:pPr>
      <w:r w:rsidRPr="008D17A3">
        <w:rPr>
          <w:rFonts w:eastAsia="Times New Roman"/>
          <w:sz w:val="24"/>
          <w:szCs w:val="24"/>
        </w:rPr>
        <w:t>Cimplx HR will implement industry-standard security measures to safeguard the confidentiality, integrity, and availability of Client data. All data handling and processing will comply with relevant data protection regulations.</w:t>
      </w:r>
    </w:p>
    <w:p w:rsidR="008D17A3" w:rsidRPr="008D17A3" w:rsidRDefault="008D17A3" w:rsidP="008D17A3">
      <w:pPr>
        <w:rPr>
          <w:rFonts w:eastAsia="Times New Roman"/>
          <w:b/>
          <w:bCs/>
          <w:sz w:val="36"/>
          <w:szCs w:val="36"/>
        </w:rPr>
      </w:pPr>
      <w:r w:rsidRPr="008D17A3">
        <w:rPr>
          <w:rFonts w:eastAsia="Times New Roman"/>
          <w:b/>
          <w:bCs/>
          <w:sz w:val="36"/>
          <w:szCs w:val="36"/>
        </w:rPr>
        <w:t>5. Service Fees and Payment</w:t>
      </w:r>
    </w:p>
    <w:p w:rsidR="008D17A3" w:rsidRPr="008D17A3" w:rsidRDefault="008D17A3" w:rsidP="008D17A3">
      <w:pPr>
        <w:rPr>
          <w:rFonts w:eastAsia="Times New Roman"/>
          <w:sz w:val="24"/>
          <w:szCs w:val="24"/>
        </w:rPr>
      </w:pPr>
      <w:r w:rsidRPr="008D17A3">
        <w:rPr>
          <w:rFonts w:eastAsia="Times New Roman"/>
          <w:sz w:val="24"/>
          <w:szCs w:val="24"/>
        </w:rPr>
        <w:t>The Client agrees to pay the Service Provider in accordance with the terms specified in the separate Service Agreement or as otherwise mutually agreed upon.</w:t>
      </w:r>
    </w:p>
    <w:p w:rsidR="008D17A3" w:rsidRPr="008D17A3" w:rsidRDefault="008D17A3" w:rsidP="008D17A3">
      <w:pPr>
        <w:rPr>
          <w:rFonts w:eastAsia="Times New Roman"/>
          <w:b/>
          <w:bCs/>
          <w:sz w:val="36"/>
          <w:szCs w:val="36"/>
        </w:rPr>
      </w:pPr>
      <w:r w:rsidRPr="008D17A3">
        <w:rPr>
          <w:rFonts w:eastAsia="Times New Roman"/>
          <w:b/>
          <w:bCs/>
          <w:sz w:val="36"/>
          <w:szCs w:val="36"/>
        </w:rPr>
        <w:t>6. Termination</w:t>
      </w:r>
    </w:p>
    <w:p w:rsidR="008D17A3" w:rsidRPr="008D17A3" w:rsidRDefault="008D17A3" w:rsidP="008D17A3">
      <w:pPr>
        <w:rPr>
          <w:rFonts w:eastAsia="Times New Roman"/>
          <w:sz w:val="24"/>
          <w:szCs w:val="24"/>
        </w:rPr>
      </w:pPr>
      <w:r w:rsidRPr="008D17A3">
        <w:rPr>
          <w:rFonts w:eastAsia="Times New Roman"/>
          <w:sz w:val="24"/>
          <w:szCs w:val="24"/>
        </w:rPr>
        <w:t>Either party may terminate this SLA with a written notice of at least 30 days. Upon termination, all outstanding service fees shall be settled, and the Service Provider shall facilitate the transfer of all relevant data and services to the Client or a designated successor.</w:t>
      </w:r>
    </w:p>
    <w:p w:rsidR="00FB50BF" w:rsidRPr="008D17A3" w:rsidRDefault="00FB50BF" w:rsidP="00FB50BF">
      <w:pPr>
        <w:rPr>
          <w:rFonts w:eastAsia="Times New Roman"/>
          <w:b/>
          <w:bCs/>
          <w:sz w:val="36"/>
          <w:szCs w:val="36"/>
        </w:rPr>
      </w:pPr>
      <w:r>
        <w:rPr>
          <w:rFonts w:eastAsia="Times New Roman"/>
          <w:b/>
          <w:bCs/>
          <w:sz w:val="36"/>
          <w:szCs w:val="36"/>
        </w:rPr>
        <w:t>7</w:t>
      </w:r>
      <w:r w:rsidRPr="008D17A3">
        <w:rPr>
          <w:rFonts w:eastAsia="Times New Roman"/>
          <w:b/>
          <w:bCs/>
          <w:sz w:val="36"/>
          <w:szCs w:val="36"/>
        </w:rPr>
        <w:t xml:space="preserve">. </w:t>
      </w:r>
      <w:r>
        <w:rPr>
          <w:rFonts w:eastAsia="Times New Roman"/>
          <w:b/>
          <w:bCs/>
          <w:sz w:val="36"/>
          <w:szCs w:val="36"/>
        </w:rPr>
        <w:t xml:space="preserve">Force </w:t>
      </w:r>
      <w:r w:rsidR="0067133B">
        <w:rPr>
          <w:rFonts w:eastAsia="Times New Roman"/>
          <w:b/>
          <w:bCs/>
          <w:sz w:val="36"/>
          <w:szCs w:val="36"/>
        </w:rPr>
        <w:t>Majeure</w:t>
      </w:r>
    </w:p>
    <w:p w:rsidR="008D17A3" w:rsidRPr="008D17A3" w:rsidRDefault="008D17A3" w:rsidP="008D17A3">
      <w:pPr>
        <w:rPr>
          <w:sz w:val="24"/>
          <w:szCs w:val="24"/>
        </w:rPr>
      </w:pPr>
      <w:r w:rsidRPr="008D17A3">
        <w:rPr>
          <w:sz w:val="24"/>
          <w:szCs w:val="24"/>
        </w:rPr>
        <w:lastRenderedPageBreak/>
        <w:t xml:space="preserve">Neither party shall be liable for any delay or failure in performance caused by circumstances beyond their control, including but not limited to </w:t>
      </w:r>
      <w:r w:rsidR="0067133B">
        <w:rPr>
          <w:sz w:val="24"/>
          <w:szCs w:val="24"/>
        </w:rPr>
        <w:t>3</w:t>
      </w:r>
      <w:r w:rsidR="0067133B" w:rsidRPr="0067133B">
        <w:rPr>
          <w:sz w:val="24"/>
          <w:szCs w:val="24"/>
          <w:vertAlign w:val="superscript"/>
        </w:rPr>
        <w:t>rd</w:t>
      </w:r>
      <w:r w:rsidR="0067133B">
        <w:rPr>
          <w:sz w:val="24"/>
          <w:szCs w:val="24"/>
        </w:rPr>
        <w:t xml:space="preserve"> Party Software, </w:t>
      </w:r>
      <w:r w:rsidRPr="008D17A3">
        <w:rPr>
          <w:sz w:val="24"/>
          <w:szCs w:val="24"/>
        </w:rPr>
        <w:t>acts of nature, government actions, or other unforeseen events.</w:t>
      </w:r>
    </w:p>
    <w:p w:rsidR="008D17A3" w:rsidRPr="008D17A3" w:rsidRDefault="008D17A3" w:rsidP="008D17A3">
      <w:pPr>
        <w:rPr>
          <w:rFonts w:eastAsia="Times New Roman"/>
          <w:b/>
          <w:bCs/>
          <w:sz w:val="36"/>
          <w:szCs w:val="36"/>
        </w:rPr>
      </w:pPr>
      <w:r w:rsidRPr="008D17A3">
        <w:rPr>
          <w:rFonts w:eastAsia="Times New Roman"/>
          <w:b/>
          <w:bCs/>
          <w:sz w:val="36"/>
          <w:szCs w:val="36"/>
        </w:rPr>
        <w:t>8. Miscellaneous</w:t>
      </w:r>
    </w:p>
    <w:p w:rsidR="008D17A3" w:rsidRPr="008D17A3" w:rsidRDefault="008D17A3" w:rsidP="008D17A3">
      <w:pPr>
        <w:rPr>
          <w:rFonts w:eastAsia="Times New Roman"/>
          <w:b/>
          <w:bCs/>
          <w:sz w:val="30"/>
          <w:szCs w:val="30"/>
        </w:rPr>
      </w:pPr>
      <w:r w:rsidRPr="008D17A3">
        <w:rPr>
          <w:rFonts w:eastAsia="Times New Roman"/>
          <w:b/>
          <w:bCs/>
          <w:sz w:val="30"/>
          <w:szCs w:val="30"/>
        </w:rPr>
        <w:t>8.1 Amendments</w:t>
      </w:r>
    </w:p>
    <w:p w:rsidR="008D17A3" w:rsidRPr="008D17A3" w:rsidRDefault="008D17A3" w:rsidP="008D17A3">
      <w:pPr>
        <w:rPr>
          <w:rFonts w:eastAsia="Times New Roman"/>
          <w:sz w:val="24"/>
          <w:szCs w:val="24"/>
        </w:rPr>
      </w:pPr>
      <w:r w:rsidRPr="008D17A3">
        <w:rPr>
          <w:rFonts w:eastAsia="Times New Roman"/>
          <w:sz w:val="24"/>
          <w:szCs w:val="24"/>
        </w:rPr>
        <w:t>Any changes or amendments to this SLA must be made in writing and agreed upon by both parties.</w:t>
      </w:r>
    </w:p>
    <w:p w:rsidR="008D17A3" w:rsidRPr="008D17A3" w:rsidRDefault="008D17A3" w:rsidP="008D17A3">
      <w:pPr>
        <w:rPr>
          <w:rFonts w:eastAsia="Times New Roman"/>
          <w:b/>
          <w:bCs/>
          <w:sz w:val="30"/>
          <w:szCs w:val="30"/>
        </w:rPr>
      </w:pPr>
      <w:r w:rsidRPr="008D17A3">
        <w:rPr>
          <w:rFonts w:eastAsia="Times New Roman"/>
          <w:b/>
          <w:bCs/>
          <w:sz w:val="30"/>
          <w:szCs w:val="30"/>
        </w:rPr>
        <w:t>8.2 Governing Law</w:t>
      </w:r>
    </w:p>
    <w:p w:rsidR="008D17A3" w:rsidRPr="008D17A3" w:rsidRDefault="008D17A3" w:rsidP="008D17A3">
      <w:pPr>
        <w:rPr>
          <w:rFonts w:eastAsia="Times New Roman"/>
          <w:sz w:val="24"/>
          <w:szCs w:val="24"/>
        </w:rPr>
      </w:pPr>
      <w:r w:rsidRPr="008D17A3">
        <w:rPr>
          <w:rFonts w:eastAsia="Times New Roman"/>
          <w:sz w:val="24"/>
          <w:szCs w:val="24"/>
        </w:rPr>
        <w:t>This SLA shall be governed by and construed in accordance with the laws of the State of South Carolina, and any disputes shall be resolved in the appropriate courts of that jurisdiction.</w:t>
      </w:r>
    </w:p>
    <w:p w:rsidR="008D17A3" w:rsidRPr="008D17A3" w:rsidRDefault="008D17A3" w:rsidP="008D17A3">
      <w:pPr>
        <w:rPr>
          <w:rFonts w:eastAsia="Times New Roman"/>
          <w:sz w:val="24"/>
          <w:szCs w:val="24"/>
        </w:rPr>
      </w:pPr>
      <w:r w:rsidRPr="008D17A3">
        <w:rPr>
          <w:rFonts w:eastAsia="Times New Roman"/>
          <w:sz w:val="24"/>
          <w:szCs w:val="24"/>
        </w:rPr>
        <w:t>This SLA represents the entire understanding between the parties and supersedes all prior agreements or understandings, whether oral or written.</w:t>
      </w:r>
    </w:p>
    <w:sectPr w:rsidR="008D17A3" w:rsidRPr="008D1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03712"/>
    <w:multiLevelType w:val="multilevel"/>
    <w:tmpl w:val="F2B0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D7D2D"/>
    <w:multiLevelType w:val="multilevel"/>
    <w:tmpl w:val="FDEA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946681"/>
    <w:multiLevelType w:val="multilevel"/>
    <w:tmpl w:val="405A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23DDE"/>
    <w:multiLevelType w:val="multilevel"/>
    <w:tmpl w:val="3894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A3"/>
    <w:rsid w:val="003B4438"/>
    <w:rsid w:val="005118DA"/>
    <w:rsid w:val="0067133B"/>
    <w:rsid w:val="00804126"/>
    <w:rsid w:val="008D17A3"/>
    <w:rsid w:val="00FB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A359"/>
  <w15:chartTrackingRefBased/>
  <w15:docId w15:val="{2BB05854-DDDD-46EB-9B09-1F9CBD66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7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7A3"/>
    <w:rPr>
      <w:b/>
      <w:bCs/>
    </w:rPr>
  </w:style>
  <w:style w:type="character" w:styleId="Emphasis">
    <w:name w:val="Emphasis"/>
    <w:basedOn w:val="DefaultParagraphFont"/>
    <w:uiPriority w:val="20"/>
    <w:qFormat/>
    <w:rsid w:val="008D1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611723">
      <w:bodyDiv w:val="1"/>
      <w:marLeft w:val="0"/>
      <w:marRight w:val="0"/>
      <w:marTop w:val="0"/>
      <w:marBottom w:val="0"/>
      <w:divBdr>
        <w:top w:val="none" w:sz="0" w:space="0" w:color="auto"/>
        <w:left w:val="none" w:sz="0" w:space="0" w:color="auto"/>
        <w:bottom w:val="none" w:sz="0" w:space="0" w:color="auto"/>
        <w:right w:val="none" w:sz="0" w:space="0" w:color="auto"/>
      </w:divBdr>
    </w:div>
    <w:div w:id="13791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Schram</dc:creator>
  <cp:keywords/>
  <dc:description/>
  <cp:lastModifiedBy>Stephen Schram</cp:lastModifiedBy>
  <cp:revision>2</cp:revision>
  <dcterms:created xsi:type="dcterms:W3CDTF">2023-09-18T18:41:00Z</dcterms:created>
  <dcterms:modified xsi:type="dcterms:W3CDTF">2023-09-18T19:08:00Z</dcterms:modified>
</cp:coreProperties>
</file>